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shd w:val="clear" w:color="auto" w:fill="DEEAF6" w:themeFill="accent5" w:themeFillTint="33"/>
        <w:tblLook w:val="04A0" w:firstRow="1" w:lastRow="0" w:firstColumn="1" w:lastColumn="0" w:noHBand="0" w:noVBand="1"/>
      </w:tblPr>
      <w:tblGrid>
        <w:gridCol w:w="9016"/>
      </w:tblGrid>
      <w:tr w:rsidRPr="00682843" w:rsidR="00E97E6C" w:rsidTr="004D43AA" w14:paraId="48641D38" w14:textId="77777777">
        <w:tc>
          <w:tcPr>
            <w:tcW w:w="9016" w:type="dxa"/>
            <w:shd w:val="clear" w:color="auto" w:fill="DEEAF6" w:themeFill="accent5" w:themeFillTint="33"/>
          </w:tcPr>
          <w:p w:rsidRPr="00682843" w:rsidR="00E97E6C" w:rsidP="004D43AA" w:rsidRDefault="00E97E6C" w14:paraId="6A39B8DC" w14:textId="77777777">
            <w:pPr>
              <w:rPr>
                <w:sz w:val="20"/>
                <w:szCs w:val="20"/>
              </w:rPr>
            </w:pPr>
          </w:p>
          <w:p w:rsidR="00E97E6C" w:rsidP="004D43AA" w:rsidRDefault="00E97E6C" w14:paraId="18E976DF" w14:textId="4D9E6389">
            <w:pPr>
              <w:jc w:val="center"/>
              <w:rPr>
                <w:b/>
                <w:bCs/>
                <w:sz w:val="20"/>
                <w:szCs w:val="20"/>
              </w:rPr>
            </w:pPr>
            <w:r>
              <w:rPr>
                <w:b/>
                <w:bCs/>
                <w:sz w:val="20"/>
                <w:szCs w:val="20"/>
              </w:rPr>
              <w:t>Bath additive and emollient briefing</w:t>
            </w:r>
          </w:p>
          <w:p w:rsidRPr="00506926" w:rsidR="00E97E6C" w:rsidP="004D43AA" w:rsidRDefault="00E97E6C" w14:paraId="4F81FA17" w14:textId="77777777">
            <w:pPr>
              <w:jc w:val="center"/>
              <w:rPr>
                <w:b/>
                <w:bCs/>
                <w:sz w:val="20"/>
                <w:szCs w:val="20"/>
              </w:rPr>
            </w:pPr>
          </w:p>
        </w:tc>
      </w:tr>
    </w:tbl>
    <w:p w:rsidR="00E97E6C" w:rsidP="00E97E6C" w:rsidRDefault="00E97E6C" w14:paraId="43C1D784" w14:textId="77777777">
      <w:pPr>
        <w:spacing w:line="276" w:lineRule="auto"/>
        <w:rPr>
          <w:sz w:val="20"/>
          <w:szCs w:val="20"/>
        </w:rPr>
      </w:pPr>
    </w:p>
    <w:p w:rsidR="00E97E6C" w:rsidP="37100726" w:rsidRDefault="00E97E6C" w14:paraId="354769A4" w14:textId="18F4796C">
      <w:pPr>
        <w:spacing w:before="0" w:beforeAutospacing="off" w:after="0" w:afterAutospacing="off"/>
        <w:ind w:left="720" w:right="0"/>
      </w:pPr>
      <w:r w:rsidRPr="37100726" w:rsidR="20E21760">
        <w:rPr>
          <w:rFonts w:ascii="Aptos" w:hAnsi="Aptos" w:eastAsia="Aptos" w:cs="Aptos"/>
          <w:i w:val="1"/>
          <w:iCs w:val="1"/>
          <w:noProof w:val="0"/>
          <w:color w:val="000000" w:themeColor="text1" w:themeTint="FF" w:themeShade="FF"/>
          <w:sz w:val="22"/>
          <w:szCs w:val="22"/>
          <w:lang w:val="en-GB"/>
        </w:rPr>
        <w:t>Please note that  this document has not been updated for the 2026-27 incentive scheme</w:t>
      </w:r>
      <w:r w:rsidRPr="37100726" w:rsidR="20E21760">
        <w:rPr>
          <w:rFonts w:ascii="Aptos" w:hAnsi="Aptos" w:eastAsia="Aptos" w:cs="Aptos"/>
          <w:noProof w:val="0"/>
          <w:color w:val="000000" w:themeColor="text1" w:themeTint="FF" w:themeShade="FF"/>
          <w:sz w:val="22"/>
          <w:szCs w:val="22"/>
          <w:lang w:val="en-GB"/>
        </w:rPr>
        <w:t xml:space="preserve">. </w:t>
      </w:r>
      <w:r w:rsidRPr="37100726" w:rsidR="20E21760">
        <w:rPr>
          <w:rFonts w:ascii="Aptos" w:hAnsi="Aptos" w:eastAsia="Aptos" w:cs="Aptos"/>
          <w:i w:val="1"/>
          <w:iCs w:val="1"/>
          <w:noProof w:val="0"/>
          <w:color w:val="000000" w:themeColor="text1" w:themeTint="FF" w:themeShade="FF"/>
          <w:sz w:val="22"/>
          <w:szCs w:val="22"/>
          <w:lang w:val="en-GB"/>
        </w:rPr>
        <w:t>Standard Operating Procedures (SOPs) for medicines optimisation switches/reviews, along with other supporting materials, were originally developed for use by Medicines Optimisation Team staff within NHS South Yorkshire Integrated Care Board (ICB).  Other organisations or groups choosing to use this resource does so at their own risk and NHS SY ICB accepts no liability for its use or application.</w:t>
      </w:r>
    </w:p>
    <w:p w:rsidR="00E97E6C" w:rsidP="00E97E6C" w:rsidRDefault="00E97E6C" w14:paraId="5477D1C6" w14:textId="0CA81358">
      <w:pPr>
        <w:pStyle w:val="Footer"/>
        <w:rPr>
          <w:sz w:val="18"/>
          <w:szCs w:val="18"/>
        </w:rPr>
      </w:pPr>
    </w:p>
    <w:p w:rsidRPr="00E97E6C" w:rsidR="00E97E6C" w:rsidP="00E97E6C" w:rsidRDefault="00E97E6C" w14:paraId="7F0B6920" w14:textId="5D793FF5">
      <w:pPr>
        <w:pStyle w:val="Footer"/>
        <w:spacing w:line="360" w:lineRule="auto"/>
        <w:rPr>
          <w:b/>
          <w:bCs/>
          <w:sz w:val="20"/>
          <w:szCs w:val="20"/>
        </w:rPr>
      </w:pPr>
      <w:r w:rsidRPr="00E97E6C">
        <w:rPr>
          <w:b/>
          <w:bCs/>
          <w:sz w:val="20"/>
          <w:szCs w:val="20"/>
        </w:rPr>
        <w:t>Bath additives.</w:t>
      </w:r>
    </w:p>
    <w:p w:rsidR="00E97E6C" w:rsidP="00E97E6C" w:rsidRDefault="00E97E6C" w14:paraId="0F979078" w14:textId="42182D52">
      <w:pPr>
        <w:pStyle w:val="Footer"/>
        <w:spacing w:line="360" w:lineRule="auto"/>
        <w:rPr>
          <w:sz w:val="20"/>
          <w:szCs w:val="20"/>
        </w:rPr>
      </w:pPr>
      <w:r>
        <w:rPr>
          <w:sz w:val="20"/>
          <w:szCs w:val="20"/>
        </w:rPr>
        <w:t xml:space="preserve">Following </w:t>
      </w:r>
      <w:hyperlink w:history="1" r:id="rId10">
        <w:r w:rsidRPr="00E97E6C">
          <w:rPr>
            <w:rStyle w:val="Hyperlink"/>
            <w:sz w:val="20"/>
            <w:szCs w:val="20"/>
          </w:rPr>
          <w:t>NICE CG57</w:t>
        </w:r>
      </w:hyperlink>
      <w:r>
        <w:rPr>
          <w:sz w:val="20"/>
          <w:szCs w:val="20"/>
        </w:rPr>
        <w:t xml:space="preserve"> amendments in 2023, emollient bath additives are not recommended in children under 12 in</w:t>
      </w:r>
      <w:r w:rsidR="001C6662">
        <w:rPr>
          <w:sz w:val="20"/>
          <w:szCs w:val="20"/>
        </w:rPr>
        <w:t xml:space="preserve"> the</w:t>
      </w:r>
      <w:r>
        <w:rPr>
          <w:sz w:val="20"/>
          <w:szCs w:val="20"/>
        </w:rPr>
        <w:t xml:space="preserve"> treatment of atopic eczema. </w:t>
      </w:r>
      <w:hyperlink w:history="1" r:id="rId11">
        <w:r w:rsidRPr="00E97E6C">
          <w:rPr>
            <w:rStyle w:val="Hyperlink"/>
            <w:sz w:val="20"/>
            <w:szCs w:val="20"/>
          </w:rPr>
          <w:t>NHS England</w:t>
        </w:r>
      </w:hyperlink>
      <w:r>
        <w:rPr>
          <w:sz w:val="20"/>
          <w:szCs w:val="20"/>
        </w:rPr>
        <w:t xml:space="preserve"> is also supporting this decision in recommending emollient bath additives under ‘</w:t>
      </w:r>
      <w:r w:rsidRPr="00E97E6C">
        <w:rPr>
          <w:sz w:val="20"/>
          <w:szCs w:val="20"/>
        </w:rPr>
        <w:t>Items where prescribing may be appropriate in some exceptional circumstances</w:t>
      </w:r>
      <w:r>
        <w:rPr>
          <w:sz w:val="20"/>
          <w:szCs w:val="20"/>
        </w:rPr>
        <w:t>. Recommendation include:</w:t>
      </w:r>
    </w:p>
    <w:p w:rsidR="00E97E6C" w:rsidP="00E97E6C" w:rsidRDefault="00E97E6C" w14:paraId="09A6FC66" w14:textId="58560437">
      <w:pPr>
        <w:pStyle w:val="Footer"/>
        <w:spacing w:line="360" w:lineRule="auto"/>
        <w:rPr>
          <w:sz w:val="20"/>
          <w:szCs w:val="20"/>
        </w:rPr>
      </w:pPr>
      <w:r>
        <w:rPr>
          <w:sz w:val="20"/>
          <w:szCs w:val="20"/>
        </w:rPr>
        <w:t xml:space="preserve">This includes the following: </w:t>
      </w:r>
    </w:p>
    <w:p w:rsidRPr="00E97E6C" w:rsidR="00E97E6C" w:rsidP="00E97E6C" w:rsidRDefault="00E97E6C" w14:paraId="2C76FF5D" w14:textId="77777777">
      <w:pPr>
        <w:pStyle w:val="Footer"/>
        <w:numPr>
          <w:ilvl w:val="0"/>
          <w:numId w:val="2"/>
        </w:numPr>
        <w:spacing w:line="360" w:lineRule="auto"/>
        <w:rPr>
          <w:sz w:val="20"/>
          <w:szCs w:val="20"/>
        </w:rPr>
      </w:pPr>
      <w:r w:rsidRPr="00E97E6C">
        <w:rPr>
          <w:sz w:val="20"/>
          <w:szCs w:val="20"/>
        </w:rPr>
        <w:t>Do not initiate in primary care.</w:t>
      </w:r>
    </w:p>
    <w:p w:rsidRPr="00E97E6C" w:rsidR="00E97E6C" w:rsidP="00E97E6C" w:rsidRDefault="00E97E6C" w14:paraId="6C2F4A74" w14:textId="77777777">
      <w:pPr>
        <w:pStyle w:val="Footer"/>
        <w:numPr>
          <w:ilvl w:val="0"/>
          <w:numId w:val="2"/>
        </w:numPr>
        <w:spacing w:line="360" w:lineRule="auto"/>
        <w:rPr>
          <w:sz w:val="20"/>
          <w:szCs w:val="20"/>
        </w:rPr>
      </w:pPr>
      <w:r w:rsidRPr="00E97E6C">
        <w:rPr>
          <w:sz w:val="20"/>
          <w:szCs w:val="20"/>
        </w:rPr>
        <w:t>Deprescribe in patients currently prescribed this item.</w:t>
      </w:r>
    </w:p>
    <w:p w:rsidRPr="00E97E6C" w:rsidR="00E97E6C" w:rsidP="00E97E6C" w:rsidRDefault="00E97E6C" w14:paraId="6D4842C4" w14:textId="77777777">
      <w:pPr>
        <w:pStyle w:val="Footer"/>
        <w:numPr>
          <w:ilvl w:val="0"/>
          <w:numId w:val="2"/>
        </w:numPr>
        <w:spacing w:line="360" w:lineRule="auto"/>
        <w:rPr>
          <w:sz w:val="20"/>
          <w:szCs w:val="20"/>
        </w:rPr>
      </w:pPr>
      <w:r w:rsidRPr="00E97E6C">
        <w:rPr>
          <w:sz w:val="20"/>
          <w:szCs w:val="20"/>
        </w:rPr>
        <w:t>Prescribe only if no other item or intervention is clinically appropriate.</w:t>
      </w:r>
    </w:p>
    <w:p w:rsidRPr="00E97E6C" w:rsidR="00E97E6C" w:rsidP="00E97E6C" w:rsidRDefault="00E97E6C" w14:paraId="4837B00C" w14:textId="669E441A">
      <w:pPr>
        <w:pStyle w:val="Footer"/>
        <w:numPr>
          <w:ilvl w:val="0"/>
          <w:numId w:val="2"/>
        </w:numPr>
        <w:spacing w:line="360" w:lineRule="auto"/>
        <w:rPr>
          <w:sz w:val="20"/>
          <w:szCs w:val="20"/>
        </w:rPr>
      </w:pPr>
      <w:r w:rsidRPr="00E97E6C">
        <w:rPr>
          <w:sz w:val="20"/>
          <w:szCs w:val="20"/>
        </w:rPr>
        <w:t>Prescribe only if no other item or intervention is available.</w:t>
      </w:r>
    </w:p>
    <w:p w:rsidR="38CA10EE" w:rsidP="38CA10EE" w:rsidRDefault="38CA10EE" w14:paraId="346B4F23" w14:textId="6EDFF9C9">
      <w:pPr>
        <w:pStyle w:val="Footer"/>
        <w:spacing w:line="360" w:lineRule="auto"/>
        <w:rPr>
          <w:sz w:val="20"/>
          <w:szCs w:val="20"/>
        </w:rPr>
      </w:pPr>
    </w:p>
    <w:p w:rsidR="00E97E6C" w:rsidP="00E97E6C" w:rsidRDefault="00E97E6C" w14:paraId="147C94D0" w14:textId="573052A7">
      <w:pPr>
        <w:pStyle w:val="Footer"/>
        <w:numPr>
          <w:ilvl w:val="0"/>
          <w:numId w:val="3"/>
        </w:numPr>
        <w:spacing w:line="360" w:lineRule="auto"/>
        <w:rPr>
          <w:sz w:val="20"/>
          <w:szCs w:val="20"/>
        </w:rPr>
      </w:pPr>
      <w:r w:rsidRPr="37100726" w:rsidR="00E97E6C">
        <w:rPr>
          <w:sz w:val="20"/>
          <w:szCs w:val="20"/>
        </w:rPr>
        <w:t>Deprescribing of emollient bath additives and soap/shower substitutes can take place.</w:t>
      </w:r>
    </w:p>
    <w:p w:rsidR="00E97E6C" w:rsidP="00E97E6C" w:rsidRDefault="00E97E6C" w14:paraId="256E834F" w14:textId="78C96C61">
      <w:pPr>
        <w:pStyle w:val="Footer"/>
        <w:numPr>
          <w:ilvl w:val="0"/>
          <w:numId w:val="3"/>
        </w:numPr>
        <w:spacing w:line="360" w:lineRule="auto"/>
        <w:rPr>
          <w:sz w:val="20"/>
          <w:szCs w:val="20"/>
        </w:rPr>
      </w:pPr>
      <w:r>
        <w:rPr>
          <w:sz w:val="20"/>
          <w:szCs w:val="20"/>
        </w:rPr>
        <w:t>If</w:t>
      </w:r>
      <w:r w:rsidR="001C6662">
        <w:rPr>
          <w:sz w:val="20"/>
          <w:szCs w:val="20"/>
        </w:rPr>
        <w:t xml:space="preserve"> an</w:t>
      </w:r>
      <w:r>
        <w:rPr>
          <w:sz w:val="20"/>
          <w:szCs w:val="20"/>
        </w:rPr>
        <w:t xml:space="preserve"> emollient bath additive is prescribed under clear dermatology instruction</w:t>
      </w:r>
      <w:r w:rsidR="001C6662">
        <w:rPr>
          <w:sz w:val="20"/>
          <w:szCs w:val="20"/>
        </w:rPr>
        <w:t>s</w:t>
      </w:r>
      <w:r>
        <w:rPr>
          <w:sz w:val="20"/>
          <w:szCs w:val="20"/>
        </w:rPr>
        <w:t xml:space="preserve">, the item can be continued. Please consider discussing with GPs if this is a historic prescription dating a few years back. </w:t>
      </w:r>
    </w:p>
    <w:p w:rsidR="00E97E6C" w:rsidP="00E97E6C" w:rsidRDefault="00E97E6C" w14:paraId="7D911552" w14:textId="624FB09C">
      <w:pPr>
        <w:pStyle w:val="Footer"/>
        <w:numPr>
          <w:ilvl w:val="0"/>
          <w:numId w:val="3"/>
        </w:numPr>
        <w:spacing w:line="360" w:lineRule="auto"/>
        <w:rPr>
          <w:sz w:val="20"/>
          <w:szCs w:val="20"/>
        </w:rPr>
      </w:pPr>
      <w:r w:rsidRPr="38CA10EE" w:rsidR="00E97E6C">
        <w:rPr>
          <w:sz w:val="20"/>
          <w:szCs w:val="20"/>
        </w:rPr>
        <w:t xml:space="preserve">Ensure that patients with eczema have enough of the emollient prescribed for their condition management. </w:t>
      </w:r>
    </w:p>
    <w:p w:rsidRPr="00E97E6C" w:rsidR="00E97E6C" w:rsidP="00E97E6C" w:rsidRDefault="00E97E6C" w14:paraId="7DE77CA4" w14:textId="50EDF4DE">
      <w:pPr>
        <w:pStyle w:val="Footer"/>
        <w:spacing w:line="360" w:lineRule="auto"/>
        <w:rPr>
          <w:b/>
          <w:bCs/>
          <w:sz w:val="20"/>
          <w:szCs w:val="20"/>
        </w:rPr>
      </w:pPr>
    </w:p>
    <w:p w:rsidR="00E97E6C" w:rsidP="66C8E0D7" w:rsidRDefault="00E97E6C" w14:paraId="1FA77E91" w14:textId="687F0E9B">
      <w:pPr>
        <w:pStyle w:val="Normal"/>
        <w:rPr>
          <w:sz w:val="18"/>
          <w:szCs w:val="18"/>
        </w:rPr>
      </w:pPr>
    </w:p>
    <w:sectPr w:rsidR="00E97E6C">
      <w:headerReference w:type="default" r:id="rId15"/>
      <w:footerReference w:type="defaul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2C5F" w:rsidP="00E97E6C" w:rsidRDefault="00C52C5F" w14:paraId="56410B33" w14:textId="77777777">
      <w:r>
        <w:separator/>
      </w:r>
    </w:p>
  </w:endnote>
  <w:endnote w:type="continuationSeparator" w:id="0">
    <w:p w:rsidR="00C52C5F" w:rsidP="00E97E6C" w:rsidRDefault="00C52C5F" w14:paraId="735C83A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97E6C" w:rsidR="00E97E6C" w:rsidRDefault="00E97E6C" w14:paraId="2BC3F123" w14:textId="40D35732">
    <w:pPr>
      <w:pStyle w:val="Footer"/>
      <w:rPr>
        <w:sz w:val="20"/>
        <w:szCs w:val="20"/>
      </w:rPr>
    </w:pPr>
    <w:r w:rsidRPr="00E97E6C">
      <w:rPr>
        <w:sz w:val="20"/>
        <w:szCs w:val="20"/>
      </w:rPr>
      <w:t>Date created: 19.1.2024</w:t>
    </w:r>
  </w:p>
  <w:p w:rsidR="002B39DD" w:rsidRDefault="00E97E6C" w14:paraId="7B2B8F30" w14:textId="6A887743">
    <w:pPr>
      <w:pStyle w:val="Footer"/>
      <w:rPr>
        <w:sz w:val="20"/>
        <w:szCs w:val="20"/>
      </w:rPr>
    </w:pPr>
  </w:p>
  <w:p w:rsidRPr="00E97E6C" w:rsidR="00E97E6C" w:rsidRDefault="00E97E6C" w14:paraId="06C4E166" w14:textId="49AE1F11">
    <w:pPr>
      <w:pStyle w:val="Footer"/>
      <w:rPr>
        <w:sz w:val="20"/>
        <w:szCs w:val="20"/>
      </w:rPr>
    </w:pPr>
  </w:p>
  <w:p w:rsidR="37100726" w:rsidP="37100726" w:rsidRDefault="37100726" w14:paraId="599B7E57" w14:textId="7EF5D89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2C5F" w:rsidP="00E97E6C" w:rsidRDefault="00C52C5F" w14:paraId="7D2F284F" w14:textId="77777777">
      <w:r>
        <w:separator/>
      </w:r>
    </w:p>
  </w:footnote>
  <w:footnote w:type="continuationSeparator" w:id="0">
    <w:p w:rsidR="00C52C5F" w:rsidP="00E97E6C" w:rsidRDefault="00C52C5F" w14:paraId="1528BA0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97E6C" w:rsidRDefault="00E97E6C" w14:paraId="08D9AACB" w14:textId="6C81ACBE">
    <w:pPr>
      <w:pStyle w:val="Header"/>
    </w:pPr>
    <w:r>
      <w:rPr>
        <w:noProof/>
      </w:rPr>
      <w:drawing>
        <wp:inline distT="0" distB="0" distL="0" distR="0" wp14:anchorId="45CCDCE0" wp14:editId="5F424DEC">
          <wp:extent cx="2065020" cy="677056"/>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280" cy="6807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C04EA"/>
    <w:multiLevelType w:val="hybridMultilevel"/>
    <w:tmpl w:val="9A60DD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E420C0"/>
    <w:multiLevelType w:val="hybridMultilevel"/>
    <w:tmpl w:val="17B875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DD3155B"/>
    <w:multiLevelType w:val="multilevel"/>
    <w:tmpl w:val="D2EAE6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917205331">
    <w:abstractNumId w:val="2"/>
  </w:num>
  <w:num w:numId="2" w16cid:durableId="688261845">
    <w:abstractNumId w:val="1"/>
  </w:num>
  <w:num w:numId="3" w16cid:durableId="904417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1AD"/>
    <w:rsid w:val="00161EE0"/>
    <w:rsid w:val="001C6662"/>
    <w:rsid w:val="002B39DD"/>
    <w:rsid w:val="008401AD"/>
    <w:rsid w:val="008964F4"/>
    <w:rsid w:val="00B644D3"/>
    <w:rsid w:val="00C52C5F"/>
    <w:rsid w:val="00E77019"/>
    <w:rsid w:val="00E97E6C"/>
    <w:rsid w:val="06C8BBEB"/>
    <w:rsid w:val="0ACB1FFF"/>
    <w:rsid w:val="10A43B4C"/>
    <w:rsid w:val="20E21760"/>
    <w:rsid w:val="30D7A1FD"/>
    <w:rsid w:val="37100726"/>
    <w:rsid w:val="380FD094"/>
    <w:rsid w:val="384ED684"/>
    <w:rsid w:val="38CA10EE"/>
    <w:rsid w:val="60BA8DA6"/>
    <w:rsid w:val="6205F823"/>
    <w:rsid w:val="66C8E0D7"/>
    <w:rsid w:val="6CC10D42"/>
    <w:rsid w:val="708FE109"/>
    <w:rsid w:val="76B79B69"/>
    <w:rsid w:val="7B70E643"/>
    <w:rsid w:val="7F9FA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4981E"/>
  <w15:chartTrackingRefBased/>
  <w15:docId w15:val="{2C485ED9-1942-4756-9C5B-E62F4C06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7E6C"/>
    <w:pPr>
      <w:suppressAutoHyphens/>
      <w:spacing w:after="0" w:line="240" w:lineRule="auto"/>
    </w:pPr>
    <w:rPr>
      <w:rFonts w:ascii="Arial" w:hAnsi="Arial" w:eastAsia="Times New Roman" w:cs="Arial"/>
      <w:sz w:val="24"/>
      <w:szCs w:val="24"/>
      <w:lang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97E6C"/>
    <w:pPr>
      <w:tabs>
        <w:tab w:val="center" w:pos="4513"/>
        <w:tab w:val="right" w:pos="9026"/>
      </w:tabs>
    </w:pPr>
  </w:style>
  <w:style w:type="character" w:styleId="HeaderChar" w:customStyle="1">
    <w:name w:val="Header Char"/>
    <w:basedOn w:val="DefaultParagraphFont"/>
    <w:link w:val="Header"/>
    <w:uiPriority w:val="99"/>
    <w:rsid w:val="00E97E6C"/>
  </w:style>
  <w:style w:type="paragraph" w:styleId="Footer">
    <w:name w:val="footer"/>
    <w:basedOn w:val="Normal"/>
    <w:link w:val="FooterChar"/>
    <w:uiPriority w:val="99"/>
    <w:unhideWhenUsed/>
    <w:rsid w:val="00E97E6C"/>
    <w:pPr>
      <w:tabs>
        <w:tab w:val="center" w:pos="4513"/>
        <w:tab w:val="right" w:pos="9026"/>
      </w:tabs>
    </w:pPr>
  </w:style>
  <w:style w:type="character" w:styleId="FooterChar" w:customStyle="1">
    <w:name w:val="Footer Char"/>
    <w:basedOn w:val="DefaultParagraphFont"/>
    <w:link w:val="Footer"/>
    <w:uiPriority w:val="99"/>
    <w:rsid w:val="00E97E6C"/>
  </w:style>
  <w:style w:type="table" w:styleId="TableGrid">
    <w:name w:val="Table Grid"/>
    <w:basedOn w:val="TableNormal"/>
    <w:uiPriority w:val="39"/>
    <w:rsid w:val="00E97E6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E97E6C"/>
    <w:rPr>
      <w:color w:val="0563C1" w:themeColor="hyperlink"/>
      <w:u w:val="single"/>
    </w:rPr>
  </w:style>
  <w:style w:type="character" w:styleId="UnresolvedMention">
    <w:name w:val="Unresolved Mention"/>
    <w:basedOn w:val="DefaultParagraphFont"/>
    <w:uiPriority w:val="99"/>
    <w:semiHidden/>
    <w:unhideWhenUsed/>
    <w:rsid w:val="00E97E6C"/>
    <w:rPr>
      <w:color w:val="605E5C"/>
      <w:shd w:val="clear" w:color="auto" w:fill="E1DFDD"/>
    </w:rPr>
  </w:style>
  <w:style w:type="character" w:styleId="FollowedHyperlink">
    <w:name w:val="FollowedHyperlink"/>
    <w:basedOn w:val="DefaultParagraphFont"/>
    <w:uiPriority w:val="99"/>
    <w:semiHidden/>
    <w:unhideWhenUsed/>
    <w:rsid w:val="00E97E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748866">
      <w:bodyDiv w:val="1"/>
      <w:marLeft w:val="0"/>
      <w:marRight w:val="0"/>
      <w:marTop w:val="0"/>
      <w:marBottom w:val="0"/>
      <w:divBdr>
        <w:top w:val="none" w:sz="0" w:space="0" w:color="auto"/>
        <w:left w:val="none" w:sz="0" w:space="0" w:color="auto"/>
        <w:bottom w:val="none" w:sz="0" w:space="0" w:color="auto"/>
        <w:right w:val="none" w:sz="0" w:space="0" w:color="auto"/>
      </w:divBdr>
    </w:div>
    <w:div w:id="96334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england.nhs.uk/long-read/items-which-should-not-routinely-be-prescribed-in-primary-care-policy-guidance/"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www.nice.org.uk/guidance/cg57/resources/atopic-eczema-in-under-12s-diagnosis-and-management-pdf-975512529349"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41175ad-5aee-4862-9c19-d00d69a21c19" xsi:nil="true"/>
    <lcf76f155ced4ddcb4097134ff3c332f xmlns="6d6a54b7-fc96-4537-b515-e30173027318">
      <Terms xmlns="http://schemas.microsoft.com/office/infopath/2007/PartnerControls"/>
    </lcf76f155ced4ddcb4097134ff3c332f>
    <comment xmlns="6d6a54b7-fc96-4537-b515-e30173027318" xsi:nil="true"/>
    <SharedWithUsers xmlns="b41175ad-5aee-4862-9c19-d00d69a21c19">
      <UserInfo>
        <DisplayName/>
        <AccountId xsi:nil="true"/>
        <AccountType/>
      </UserInfo>
    </SharedWithUsers>
    <Outcome xmlns="6d6a54b7-fc96-4537-b515-e301730273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4EE08F76271E47A8C9D53446E66A50" ma:contentTypeVersion="21" ma:contentTypeDescription="Create a new document." ma:contentTypeScope="" ma:versionID="073503fc235958981c40e94bdf49ea87">
  <xsd:schema xmlns:xsd="http://www.w3.org/2001/XMLSchema" xmlns:xs="http://www.w3.org/2001/XMLSchema" xmlns:p="http://schemas.microsoft.com/office/2006/metadata/properties" xmlns:ns1="http://schemas.microsoft.com/sharepoint/v3" xmlns:ns2="6d6a54b7-fc96-4537-b515-e30173027318" xmlns:ns3="b41175ad-5aee-4862-9c19-d00d69a21c19" targetNamespace="http://schemas.microsoft.com/office/2006/metadata/properties" ma:root="true" ma:fieldsID="209b854b4a654d6233e7aca3b3b83dac" ns1:_="" ns2:_="" ns3:_="">
    <xsd:import namespace="http://schemas.microsoft.com/sharepoint/v3"/>
    <xsd:import namespace="6d6a54b7-fc96-4537-b515-e30173027318"/>
    <xsd:import namespace="b41175ad-5aee-4862-9c19-d00d69a21c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element ref="ns2:MediaServiceLocation" minOccurs="0"/>
                <xsd:element ref="ns2:Outco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6a54b7-fc96-4537-b515-e30173027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Outcome" ma:index="28" nillable="true" ma:displayName="Outcome" ma:description="Incident to remain open or closed" ma:format="Dropdown" ma:internalName="Outco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175ad-5aee-4862-9c19-d00d69a21c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b12b297-36cd-40b5-b714-0c31021fb1c0}" ma:internalName="TaxCatchAll" ma:showField="CatchAllData" ma:web="b41175ad-5aee-4862-9c19-d00d69a21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C7A9A0-28CD-49B6-B56D-BD90D5FADBF2}">
  <ds:schemaRefs>
    <ds:schemaRef ds:uri="http://schemas.microsoft.com/office/2006/metadata/properties"/>
    <ds:schemaRef ds:uri="http://schemas.microsoft.com/office/infopath/2007/PartnerControls"/>
    <ds:schemaRef ds:uri="http://schemas.microsoft.com/sharepoint/v3"/>
    <ds:schemaRef ds:uri="b41175ad-5aee-4862-9c19-d00d69a21c19"/>
    <ds:schemaRef ds:uri="6d6a54b7-fc96-4537-b515-e30173027318"/>
  </ds:schemaRefs>
</ds:datastoreItem>
</file>

<file path=customXml/itemProps2.xml><?xml version="1.0" encoding="utf-8"?>
<ds:datastoreItem xmlns:ds="http://schemas.openxmlformats.org/officeDocument/2006/customXml" ds:itemID="{3E903D2C-1B9E-4F2C-B62A-7D234C6313C1}">
  <ds:schemaRefs>
    <ds:schemaRef ds:uri="http://schemas.microsoft.com/sharepoint/v3/contenttype/forms"/>
  </ds:schemaRefs>
</ds:datastoreItem>
</file>

<file path=customXml/itemProps3.xml><?xml version="1.0" encoding="utf-8"?>
<ds:datastoreItem xmlns:ds="http://schemas.openxmlformats.org/officeDocument/2006/customXml" ds:itemID="{978145F2-C64E-4353-9C1D-277807D2E6C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SLUCKA, Augustinas (NHS SOUTH YORKSHIRE ICB - 03N)</dc:creator>
  <cp:keywords/>
  <dc:description/>
  <cp:lastModifiedBy>WHITE, Tracey (NHS SOUTH YORKSHIRE ICB - 02X)</cp:lastModifiedBy>
  <cp:revision>12</cp:revision>
  <dcterms:created xsi:type="dcterms:W3CDTF">2024-01-19T14:37:00Z</dcterms:created>
  <dcterms:modified xsi:type="dcterms:W3CDTF">2026-07-20T14:37:30Z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0x010100434EE08F76271E47A8C9D53446E66A50</vt:lpwstr>
  </property>
  <property fmtid="{D5CDD505-2E9C-101B-9397-08002B2CF9AE}" pid="3" name="Order">
    <vt:r8>50900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